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20" w:after="220" w:line="360" w:lineRule="auto"/>
        <w:jc w:val="center"/>
        <w:rPr>
          <w:rFonts w:hint="default" w:ascii="Times New Roman" w:hAnsi="Times New Roman" w:eastAsia="宋体" w:cs="Times New Roman"/>
          <w:sz w:val="32"/>
          <w:szCs w:val="32"/>
        </w:rPr>
      </w:pPr>
      <w:r>
        <w:rPr>
          <w:rFonts w:hint="default" w:ascii="Times New Roman" w:hAnsi="Times New Roman" w:eastAsia="宋体" w:cs="Times New Roman"/>
          <w:sz w:val="32"/>
          <w:szCs w:val="32"/>
        </w:rPr>
        <w:t>诸暨市城东先军复膜厂新建年产复膜1000万张</w:t>
      </w:r>
    </w:p>
    <w:p>
      <w:pPr>
        <w:pStyle w:val="2"/>
        <w:spacing w:before="220" w:after="220" w:line="360" w:lineRule="auto"/>
        <w:jc w:val="center"/>
        <w:rPr>
          <w:rFonts w:hint="default" w:ascii="Times New Roman" w:hAnsi="Times New Roman" w:eastAsia="宋体" w:cs="Times New Roman"/>
          <w:sz w:val="32"/>
          <w:szCs w:val="32"/>
        </w:rPr>
      </w:pPr>
      <w:r>
        <w:rPr>
          <w:rFonts w:hint="default" w:ascii="Times New Roman" w:hAnsi="Times New Roman" w:eastAsia="宋体" w:cs="Times New Roman"/>
          <w:sz w:val="32"/>
          <w:szCs w:val="32"/>
        </w:rPr>
        <w:t>生产线项目竣工环境保护验收意见</w:t>
      </w:r>
    </w:p>
    <w:p>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w:t>
      </w:r>
      <w:bookmarkStart w:id="0" w:name="_Hlk15800630"/>
      <w:r>
        <w:rPr>
          <w:rFonts w:hint="default" w:ascii="Times New Roman" w:hAnsi="Times New Roman" w:cs="Times New Roman"/>
          <w:b/>
          <w:bCs/>
          <w:sz w:val="32"/>
          <w:szCs w:val="32"/>
        </w:rPr>
        <w:t>废水、废气</w:t>
      </w:r>
      <w:r>
        <w:rPr>
          <w:rFonts w:hint="eastAsia" w:ascii="Times New Roman" w:hAnsi="Times New Roman" w:cs="Times New Roman"/>
          <w:b/>
          <w:bCs/>
          <w:sz w:val="32"/>
          <w:szCs w:val="32"/>
          <w:lang w:eastAsia="zh-CN"/>
        </w:rPr>
        <w:t>、</w:t>
      </w:r>
      <w:r>
        <w:rPr>
          <w:rFonts w:hint="default" w:ascii="Times New Roman" w:hAnsi="Times New Roman" w:cs="Times New Roman"/>
          <w:b/>
          <w:bCs/>
          <w:sz w:val="32"/>
          <w:szCs w:val="32"/>
        </w:rPr>
        <w:t>噪声</w:t>
      </w:r>
      <w:bookmarkEnd w:id="0"/>
      <w:r>
        <w:rPr>
          <w:rFonts w:hint="default" w:ascii="Times New Roman" w:hAnsi="Times New Roman" w:cs="Times New Roman"/>
          <w:b/>
          <w:bCs/>
          <w:sz w:val="32"/>
          <w:szCs w:val="32"/>
        </w:rPr>
        <w:t>）</w:t>
      </w:r>
    </w:p>
    <w:p>
      <w:pPr>
        <w:pStyle w:val="2"/>
        <w:spacing w:before="220" w:after="220" w:line="360" w:lineRule="auto"/>
        <w:jc w:val="left"/>
        <w:rPr>
          <w:rFonts w:hint="default" w:ascii="Times New Roman" w:hAnsi="Times New Roman" w:eastAsia="宋体" w:cs="Times New Roman"/>
          <w:b w:val="0"/>
          <w:bCs w:val="0"/>
          <w:color w:val="000000"/>
          <w:spacing w:val="8"/>
          <w:sz w:val="24"/>
          <w:szCs w:val="24"/>
          <w:shd w:val="clear" w:color="auto" w:fill="FFFFFF"/>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b w:val="0"/>
          <w:bCs w:val="0"/>
          <w:color w:val="000000"/>
          <w:spacing w:val="8"/>
          <w:sz w:val="24"/>
          <w:szCs w:val="24"/>
          <w:shd w:val="clear" w:color="auto" w:fill="FFFFFF"/>
        </w:rPr>
        <w:t>2019年8月18日，诸暨市城东先军复膜厂根据其新建年产复膜1000万张生产线项目竣工环境保护验收报告，并对照《建设项目竣工环境保护验收暂行办法》，严格依照国家有关法律法规、建设项目环境保护验收技术规范和指南、本项目环境影响评价报告表和审批部门批复的要求对本项目进行竣工环境保护验收，提出意见如下：</w:t>
      </w:r>
    </w:p>
    <w:p>
      <w:pPr>
        <w:numPr>
          <w:ilvl w:val="0"/>
          <w:numId w:val="1"/>
        </w:num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工程建设基本情况</w:t>
      </w:r>
    </w:p>
    <w:p>
      <w:pPr>
        <w:numPr>
          <w:ilvl w:val="0"/>
          <w:numId w:val="2"/>
        </w:num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建设地点、规模、主要建设内容</w:t>
      </w:r>
    </w:p>
    <w:p>
      <w:pPr>
        <w:spacing w:line="360" w:lineRule="auto"/>
        <w:ind w:firstLine="480" w:firstLineChars="200"/>
        <w:jc w:val="left"/>
        <w:rPr>
          <w:rFonts w:hint="default" w:ascii="Times New Roman" w:hAnsi="Times New Roman" w:cs="Times New Roman"/>
          <w:b/>
          <w:bCs/>
          <w:color w:val="000000"/>
          <w:sz w:val="24"/>
        </w:rPr>
      </w:pPr>
      <w:r>
        <w:rPr>
          <w:rFonts w:hint="default" w:ascii="Times New Roman" w:hAnsi="Times New Roman" w:cs="Times New Roman"/>
          <w:sz w:val="24"/>
        </w:rPr>
        <w:t>诸暨市城东先军复膜厂位于莼塘东村的闲置厂房，投资62.2万元，采用先进技术或工艺，购置全自动水胶机、全自动立式复膜机等国产设备，实施新建年产复膜1000万张生产线项目，目前已经达产。本项目不设食堂和住宿，有员工5人，昼间一班制生产，年工作日300天。</w:t>
      </w:r>
    </w:p>
    <w:p>
      <w:pPr>
        <w:numPr>
          <w:ilvl w:val="0"/>
          <w:numId w:val="2"/>
        </w:num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建设过程及环保审批情况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2018年12月杭州博盛环保科技有限公司编制了《诸暨市城东先军复膜厂新建年产复膜1000万张生产线项目环境影响评价报告表》； 2019年1月2日，诸暨环保局出具了该项目环境影响评价报告表的批复（诸环建[2019]5号）。</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受诸暨市城东先军复膜厂委托，浙江华才检测技术有限公司承担了本项目的竣工验收监测，于2019年7月18日、19日连续二天对该项目进行现场调查监测，在此基础上编写了该项目竣工验收监测报告。验收期间公司各环保治理设施运行正常，生产负荷符合竣工验收的工况要求。</w:t>
      </w:r>
    </w:p>
    <w:p>
      <w:pPr>
        <w:numPr>
          <w:ilvl w:val="0"/>
          <w:numId w:val="2"/>
        </w:num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项目主体工程实际总投资62.2万元，其中环保投资13.5万元，环保投资占总投资的21.7%。 </w:t>
      </w:r>
    </w:p>
    <w:p>
      <w:pPr>
        <w:spacing w:line="360" w:lineRule="auto"/>
        <w:ind w:firstLine="480" w:firstLineChars="200"/>
        <w:rPr>
          <w:rFonts w:hint="default" w:ascii="Times New Roman" w:hAnsi="Times New Roman" w:cs="Times New Roman"/>
          <w:sz w:val="24"/>
        </w:rPr>
      </w:pPr>
    </w:p>
    <w:p>
      <w:pPr>
        <w:numPr>
          <w:ilvl w:val="0"/>
          <w:numId w:val="1"/>
        </w:num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工程变动情况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项目建设基本无重大变动</w:t>
      </w:r>
    </w:p>
    <w:p>
      <w:pPr>
        <w:numPr>
          <w:ilvl w:val="0"/>
          <w:numId w:val="1"/>
        </w:num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环境保护设施建设情况</w:t>
      </w:r>
    </w:p>
    <w:p>
      <w:pPr>
        <w:shd w:val="solid" w:color="FFFFFF" w:fill="auto"/>
        <w:autoSpaceDN w:val="0"/>
        <w:spacing w:before="45" w:after="150" w:line="360" w:lineRule="auto"/>
        <w:ind w:firstLine="514" w:firstLineChars="200"/>
        <w:rPr>
          <w:rFonts w:hint="default" w:ascii="Times New Roman" w:hAnsi="Times New Roman" w:cs="Times New Roman"/>
          <w:b/>
          <w:bCs/>
          <w:color w:val="000000"/>
          <w:spacing w:val="8"/>
          <w:sz w:val="24"/>
          <w:shd w:val="clear" w:color="auto" w:fill="FFFFFF"/>
        </w:rPr>
      </w:pPr>
      <w:bookmarkStart w:id="1" w:name="_Toc29860"/>
      <w:bookmarkStart w:id="2" w:name="_Toc31647"/>
      <w:bookmarkStart w:id="3" w:name="_Toc1860"/>
      <w:bookmarkStart w:id="4" w:name="_Toc515607616"/>
      <w:bookmarkStart w:id="5" w:name="_Toc511808092"/>
      <w:r>
        <w:rPr>
          <w:rFonts w:hint="default" w:ascii="Times New Roman" w:hAnsi="Times New Roman" w:cs="Times New Roman"/>
          <w:b/>
          <w:bCs/>
          <w:color w:val="000000"/>
          <w:spacing w:val="8"/>
          <w:sz w:val="24"/>
          <w:shd w:val="clear" w:color="auto" w:fill="FFFFFF"/>
        </w:rPr>
        <w:t>（一）废水</w:t>
      </w:r>
    </w:p>
    <w:p>
      <w:pPr>
        <w:shd w:val="solid" w:color="FFFFFF" w:fill="auto"/>
        <w:autoSpaceDN w:val="0"/>
        <w:spacing w:before="45" w:after="150" w:line="360" w:lineRule="auto"/>
        <w:ind w:firstLine="512" w:firstLineChars="200"/>
        <w:rPr>
          <w:rFonts w:hint="default" w:ascii="Times New Roman" w:hAnsi="Times New Roman" w:cs="Times New Roman"/>
          <w:color w:val="000000"/>
          <w:spacing w:val="8"/>
          <w:sz w:val="24"/>
          <w:shd w:val="clear" w:color="auto" w:fill="FFFFFF"/>
        </w:rPr>
      </w:pPr>
      <w:r>
        <w:rPr>
          <w:rFonts w:hint="default" w:ascii="Times New Roman" w:hAnsi="Times New Roman" w:cs="Times New Roman"/>
          <w:color w:val="000000"/>
          <w:spacing w:val="8"/>
          <w:sz w:val="24"/>
          <w:shd w:val="clear" w:color="auto" w:fill="FFFFFF"/>
        </w:rPr>
        <w:t>本项目产生的废水主要是员工生活废水，生活废水</w:t>
      </w:r>
      <w:r>
        <w:rPr>
          <w:rFonts w:hint="default" w:ascii="Times New Roman" w:hAnsi="Times New Roman" w:cs="Times New Roman"/>
          <w:bCs/>
          <w:color w:val="000000"/>
          <w:sz w:val="24"/>
        </w:rPr>
        <w:t>经地埋式污水处理设施处理达到</w:t>
      </w:r>
      <w:r>
        <w:rPr>
          <w:rFonts w:hint="default" w:ascii="Times New Roman" w:hAnsi="Times New Roman" w:cs="Times New Roman"/>
          <w:color w:val="000000"/>
          <w:sz w:val="24"/>
        </w:rPr>
        <w:t xml:space="preserve">《污水综合排放标准》(GB8978-1996)中的一级标准后排放周围水体。 </w:t>
      </w:r>
    </w:p>
    <w:p>
      <w:pPr>
        <w:shd w:val="solid" w:color="FFFFFF" w:fill="auto"/>
        <w:autoSpaceDN w:val="0"/>
        <w:spacing w:before="45" w:after="150" w:line="360" w:lineRule="auto"/>
        <w:ind w:firstLine="514" w:firstLineChars="200"/>
        <w:rPr>
          <w:rFonts w:hint="default" w:ascii="Times New Roman" w:hAnsi="Times New Roman" w:cs="Times New Roman"/>
          <w:b/>
          <w:bCs/>
          <w:color w:val="000000"/>
          <w:spacing w:val="8"/>
          <w:sz w:val="24"/>
          <w:shd w:val="clear" w:color="auto" w:fill="FFFFFF"/>
        </w:rPr>
      </w:pPr>
      <w:r>
        <w:rPr>
          <w:rFonts w:hint="default" w:ascii="Times New Roman" w:hAnsi="Times New Roman" w:cs="Times New Roman"/>
          <w:b/>
          <w:bCs/>
          <w:color w:val="000000"/>
          <w:spacing w:val="8"/>
          <w:sz w:val="24"/>
          <w:shd w:val="clear" w:color="auto" w:fill="FFFFFF"/>
        </w:rPr>
        <w:t>（二）废气</w:t>
      </w:r>
    </w:p>
    <w:p>
      <w:pPr>
        <w:shd w:val="solid" w:color="FFFFFF" w:fill="auto"/>
        <w:autoSpaceDN w:val="0"/>
        <w:spacing w:before="45" w:after="150"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项目全自动复膜机使用水性干复胶，上胶后需加热到70℃使胶水稍稍干燥，然后再复膜，烘干过程会产生少量有机废气，废气经过收集后由</w:t>
      </w:r>
      <w:r>
        <w:rPr>
          <w:rFonts w:hint="eastAsia" w:ascii="Times New Roman" w:hAnsi="Times New Roman" w:cs="Times New Roman"/>
          <w:color w:val="000000"/>
          <w:sz w:val="24"/>
          <w:lang w:val="en-US" w:eastAsia="zh-CN"/>
        </w:rPr>
        <w:t>1</w:t>
      </w:r>
      <w:r>
        <w:rPr>
          <w:rFonts w:hint="default" w:ascii="Times New Roman" w:hAnsi="Times New Roman" w:cs="Times New Roman"/>
          <w:color w:val="000000"/>
          <w:sz w:val="24"/>
        </w:rPr>
        <w:t>台等离子光氧净化器处理后由15m 的排气筒高空排放。</w:t>
      </w:r>
    </w:p>
    <w:p>
      <w:pPr>
        <w:shd w:val="solid" w:color="FFFFFF" w:fill="auto"/>
        <w:autoSpaceDN w:val="0"/>
        <w:spacing w:before="45" w:after="150" w:line="360" w:lineRule="auto"/>
        <w:ind w:firstLine="514" w:firstLineChars="200"/>
        <w:rPr>
          <w:rFonts w:hint="default" w:ascii="Times New Roman" w:hAnsi="Times New Roman" w:cs="Times New Roman"/>
          <w:color w:val="000000"/>
          <w:spacing w:val="8"/>
          <w:sz w:val="24"/>
          <w:shd w:val="clear" w:color="auto" w:fill="FFFFFF"/>
        </w:rPr>
      </w:pPr>
      <w:r>
        <w:rPr>
          <w:rFonts w:hint="default" w:ascii="Times New Roman" w:hAnsi="Times New Roman" w:cs="Times New Roman"/>
          <w:b/>
          <w:bCs/>
          <w:color w:val="000000"/>
          <w:spacing w:val="8"/>
          <w:sz w:val="24"/>
          <w:shd w:val="clear" w:color="auto" w:fill="FFFFFF"/>
        </w:rPr>
        <w:t>（三）噪声</w:t>
      </w:r>
    </w:p>
    <w:p>
      <w:pPr>
        <w:shd w:val="solid" w:color="FFFFFF" w:fill="auto"/>
        <w:autoSpaceDN w:val="0"/>
        <w:spacing w:before="45" w:after="150" w:line="360" w:lineRule="auto"/>
        <w:ind w:firstLine="512" w:firstLineChars="200"/>
        <w:rPr>
          <w:rFonts w:hint="default" w:ascii="Times New Roman" w:hAnsi="Times New Roman" w:cs="Times New Roman"/>
          <w:color w:val="000000"/>
          <w:spacing w:val="8"/>
          <w:sz w:val="24"/>
          <w:shd w:val="clear" w:color="auto" w:fill="FFFFFF"/>
        </w:rPr>
      </w:pPr>
      <w:r>
        <w:rPr>
          <w:rFonts w:hint="default" w:ascii="Times New Roman" w:hAnsi="Times New Roman" w:cs="Times New Roman"/>
          <w:color w:val="000000"/>
          <w:spacing w:val="8"/>
          <w:sz w:val="24"/>
          <w:shd w:val="clear" w:color="auto" w:fill="FFFFFF"/>
        </w:rPr>
        <w:t>项目噪声源主要为全自动水胶机、全自动覆膜机运行过程产生的噪声，设备噪声值</w:t>
      </w:r>
      <w:bookmarkStart w:id="6" w:name="_Hlk7115036"/>
      <w:r>
        <w:rPr>
          <w:rFonts w:hint="default" w:ascii="Times New Roman" w:hAnsi="Times New Roman" w:cs="Times New Roman"/>
          <w:color w:val="000000"/>
          <w:spacing w:val="8"/>
          <w:sz w:val="24"/>
          <w:shd w:val="clear" w:color="auto" w:fill="FFFFFF"/>
        </w:rPr>
        <w:t>60～</w:t>
      </w:r>
      <w:bookmarkEnd w:id="6"/>
      <w:r>
        <w:rPr>
          <w:rFonts w:hint="default" w:ascii="Times New Roman" w:hAnsi="Times New Roman" w:cs="Times New Roman"/>
          <w:color w:val="000000"/>
          <w:spacing w:val="8"/>
          <w:sz w:val="24"/>
          <w:shd w:val="clear" w:color="auto" w:fill="FFFFFF"/>
        </w:rPr>
        <w:t>65dB，建设单位通过对设备采取减振措施，加强对设备的维护，使设备处于良好的运行状态，确保项目厂界噪声达标。</w:t>
      </w:r>
    </w:p>
    <w:p>
      <w:pPr>
        <w:shd w:val="solid" w:color="FFFFFF" w:fill="auto"/>
        <w:autoSpaceDN w:val="0"/>
        <w:spacing w:before="45" w:after="150" w:line="360" w:lineRule="auto"/>
        <w:ind w:left="420" w:leftChars="200"/>
        <w:rPr>
          <w:rFonts w:hint="default" w:ascii="Times New Roman" w:hAnsi="Times New Roman" w:cs="Times New Roman"/>
          <w:b/>
          <w:bCs/>
          <w:color w:val="000000"/>
          <w:spacing w:val="8"/>
          <w:sz w:val="24"/>
          <w:shd w:val="clear" w:color="auto" w:fill="FFFFFF"/>
        </w:rPr>
      </w:pPr>
      <w:r>
        <w:rPr>
          <w:rFonts w:hint="default" w:ascii="Times New Roman" w:hAnsi="Times New Roman" w:cs="Times New Roman"/>
          <w:b/>
          <w:bCs/>
          <w:color w:val="000000"/>
          <w:spacing w:val="8"/>
          <w:sz w:val="24"/>
          <w:shd w:val="clear" w:color="auto" w:fill="FFFFFF"/>
        </w:rPr>
        <w:t>（四）</w:t>
      </w:r>
      <w:bookmarkEnd w:id="1"/>
      <w:bookmarkEnd w:id="2"/>
      <w:bookmarkEnd w:id="3"/>
      <w:bookmarkEnd w:id="4"/>
      <w:bookmarkEnd w:id="5"/>
      <w:r>
        <w:rPr>
          <w:rFonts w:hint="default" w:ascii="Times New Roman" w:hAnsi="Times New Roman" w:cs="Times New Roman"/>
          <w:b/>
          <w:bCs/>
          <w:color w:val="000000"/>
          <w:spacing w:val="8"/>
          <w:sz w:val="24"/>
          <w:shd w:val="clear" w:color="auto" w:fill="FFFFFF"/>
        </w:rPr>
        <w:t>固废</w:t>
      </w:r>
    </w:p>
    <w:p>
      <w:pPr>
        <w:shd w:val="solid" w:color="FFFFFF" w:fill="auto"/>
        <w:autoSpaceDN w:val="0"/>
        <w:spacing w:before="45" w:after="150" w:line="360" w:lineRule="auto"/>
        <w:ind w:firstLine="512" w:firstLineChars="200"/>
        <w:rPr>
          <w:rFonts w:hint="default" w:ascii="Times New Roman" w:hAnsi="Times New Roman" w:cs="Times New Roman"/>
          <w:color w:val="000000"/>
          <w:spacing w:val="8"/>
          <w:sz w:val="24"/>
          <w:shd w:val="clear" w:color="auto" w:fill="FFFFFF"/>
        </w:rPr>
      </w:pPr>
      <w:r>
        <w:rPr>
          <w:rFonts w:hint="default" w:ascii="Times New Roman" w:hAnsi="Times New Roman" w:cs="Times New Roman"/>
          <w:color w:val="000000"/>
          <w:spacing w:val="8"/>
          <w:sz w:val="24"/>
          <w:shd w:val="clear" w:color="auto" w:fill="FFFFFF"/>
        </w:rPr>
        <w:t>项目固体废弃物主要为生产过程中产生的不合格品、生活垃圾。生产过程中不合格产品的产生量为0.01t/a，收集后出售给物资公司回收综合利用，生活垃圾产生量估计为0.8t/a，由当地环卫部门统一处置。</w:t>
      </w:r>
    </w:p>
    <w:p>
      <w:pPr>
        <w:shd w:val="solid" w:color="FFFFFF" w:fill="auto"/>
        <w:autoSpaceDN w:val="0"/>
        <w:spacing w:before="45" w:after="150" w:line="360" w:lineRule="auto"/>
        <w:ind w:firstLine="514" w:firstLineChars="200"/>
        <w:rPr>
          <w:rFonts w:hint="default" w:ascii="Times New Roman" w:hAnsi="Times New Roman" w:cs="Times New Roman"/>
          <w:sz w:val="24"/>
        </w:rPr>
      </w:pPr>
      <w:r>
        <w:rPr>
          <w:rFonts w:hint="default" w:ascii="Times New Roman" w:hAnsi="Times New Roman" w:cs="Times New Roman"/>
          <w:b/>
          <w:bCs/>
          <w:color w:val="000000"/>
          <w:spacing w:val="8"/>
          <w:sz w:val="24"/>
          <w:shd w:val="clear" w:color="auto" w:fill="FFFFFF"/>
        </w:rPr>
        <w:t>（五）</w:t>
      </w:r>
      <w:r>
        <w:rPr>
          <w:rFonts w:hint="default" w:ascii="Times New Roman" w:hAnsi="Times New Roman" w:cs="Times New Roman"/>
          <w:b/>
          <w:bCs/>
          <w:sz w:val="24"/>
        </w:rPr>
        <w:t>其他环境保护措施</w:t>
      </w:r>
    </w:p>
    <w:p>
      <w:pPr>
        <w:pStyle w:val="11"/>
        <w:numPr>
          <w:ilvl w:val="0"/>
          <w:numId w:val="3"/>
        </w:numPr>
        <w:spacing w:line="360" w:lineRule="auto"/>
        <w:ind w:firstLineChars="0"/>
        <w:rPr>
          <w:rFonts w:hint="default" w:ascii="Times New Roman" w:hAnsi="Times New Roman" w:cs="Times New Roman"/>
          <w:sz w:val="24"/>
        </w:rPr>
      </w:pPr>
      <w:r>
        <w:rPr>
          <w:rFonts w:hint="default" w:ascii="Times New Roman" w:hAnsi="Times New Roman" w:cs="Times New Roman"/>
          <w:sz w:val="24"/>
        </w:rPr>
        <w:t>环保机构设置及管理制度</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诸暨市城东先军复膜厂制订环保管理制度、安全操作规程和岗位责任制，设置各种设备运行台帐记录，规范工作程序。</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⑵规范化排污口、监测设施及在线监测装置</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项目厂区实行雨污分流，雨水通过雨水系统进入城市雨水管网；设有生活污水总排口一个，废水排放口设立排污标志牌。</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⑶卫生防护距离及应急措施调查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项目无设置大气环境防护距离及卫生防护距离；车间配备有灭火器、消火栓、应急照明灯、疏散指示标志等消防器材，应急逃生通道顺畅。</w:t>
      </w:r>
    </w:p>
    <w:p>
      <w:p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四、污染物排放情况</w:t>
      </w:r>
    </w:p>
    <w:p>
      <w:pPr>
        <w:numPr>
          <w:ilvl w:val="0"/>
          <w:numId w:val="4"/>
        </w:num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废水</w:t>
      </w:r>
    </w:p>
    <w:p>
      <w:pPr>
        <w:shd w:val="solid" w:color="FFFFFF" w:fill="auto"/>
        <w:autoSpaceDN w:val="0"/>
        <w:spacing w:before="45" w:after="150" w:line="360" w:lineRule="auto"/>
        <w:ind w:firstLine="480" w:firstLineChars="200"/>
        <w:rPr>
          <w:rFonts w:hint="default" w:ascii="Times New Roman" w:hAnsi="Times New Roman" w:cs="Times New Roman"/>
          <w:b/>
          <w:color w:val="000000"/>
          <w:sz w:val="24"/>
        </w:rPr>
      </w:pPr>
      <w:r>
        <w:rPr>
          <w:rFonts w:hint="default" w:ascii="Times New Roman" w:hAnsi="Times New Roman" w:cs="Times New Roman"/>
          <w:sz w:val="24"/>
        </w:rPr>
        <w:t>根据监测结果，生活废水总排口pH值范围7.24～7.60，各污染物最大日浓度分别为：化学需氧量175mg/L、悬浮物131mg/L、氨氮2.69mg/L、动植物油类6.31mg/L；pH、化学需氧量、悬浮物和动植物油类均符合《污水综合排放标准》（GB 8978-1996）表4中三级标准限值，氨氮浓度符合《工业企业废水氮、磷污染物间接排放限值》（DB33/887-2013 ）。</w:t>
      </w:r>
    </w:p>
    <w:p>
      <w:pPr>
        <w:numPr>
          <w:ilvl w:val="0"/>
          <w:numId w:val="4"/>
        </w:num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废气</w:t>
      </w:r>
    </w:p>
    <w:p>
      <w:pPr>
        <w:tabs>
          <w:tab w:val="left" w:pos="217"/>
          <w:tab w:val="left" w:pos="1205"/>
          <w:tab w:val="left" w:pos="2410"/>
          <w:tab w:val="left" w:pos="3615"/>
          <w:tab w:val="center" w:pos="4279"/>
          <w:tab w:val="left" w:pos="4820"/>
          <w:tab w:val="left" w:pos="6032"/>
          <w:tab w:val="left" w:pos="7247"/>
        </w:tabs>
        <w:spacing w:line="440" w:lineRule="exact"/>
        <w:ind w:firstLine="480" w:firstLineChars="200"/>
        <w:jc w:val="left"/>
        <w:rPr>
          <w:rFonts w:hint="default" w:ascii="Times New Roman" w:hAnsi="Times New Roman" w:cs="Times New Roman"/>
          <w:sz w:val="24"/>
        </w:rPr>
      </w:pPr>
      <w:bookmarkStart w:id="7" w:name="_Hlk9748355"/>
      <w:r>
        <w:rPr>
          <w:rFonts w:hint="default" w:ascii="Times New Roman" w:hAnsi="Times New Roman" w:cs="Times New Roman"/>
          <w:sz w:val="24"/>
        </w:rPr>
        <w:t>根据监测结果，上胶废气净化处理装置排气筒出口废气中非甲烷总烃最大排放浓度为2.63mg/m</w:t>
      </w:r>
      <w:r>
        <w:rPr>
          <w:rFonts w:hint="default" w:ascii="Times New Roman" w:hAnsi="Times New Roman" w:cs="Times New Roman"/>
          <w:sz w:val="24"/>
          <w:vertAlign w:val="superscript"/>
        </w:rPr>
        <w:t>3</w:t>
      </w:r>
      <w:r>
        <w:rPr>
          <w:rFonts w:hint="default" w:ascii="Times New Roman" w:hAnsi="Times New Roman" w:cs="Times New Roman"/>
          <w:sz w:val="24"/>
        </w:rPr>
        <w:t xml:space="preserve"> ，最大排放速率为2.57×10</w:t>
      </w:r>
      <w:r>
        <w:rPr>
          <w:rFonts w:hint="default" w:ascii="Times New Roman" w:hAnsi="Times New Roman" w:cs="Times New Roman"/>
          <w:sz w:val="24"/>
          <w:vertAlign w:val="superscript"/>
        </w:rPr>
        <w:t>-3</w:t>
      </w:r>
      <w:r>
        <w:rPr>
          <w:rFonts w:hint="default" w:ascii="Times New Roman" w:hAnsi="Times New Roman" w:cs="Times New Roman"/>
        </w:rPr>
        <w:t xml:space="preserve"> </w:t>
      </w:r>
      <w:r>
        <w:rPr>
          <w:rFonts w:hint="default" w:ascii="Times New Roman" w:hAnsi="Times New Roman" w:cs="Times New Roman"/>
          <w:sz w:val="24"/>
        </w:rPr>
        <w:t>kg/h，均符合《大气污染物综合排放标准》(GB16297-1996)表2</w:t>
      </w:r>
      <w:r>
        <w:rPr>
          <w:rFonts w:hint="default" w:ascii="Times New Roman" w:hAnsi="Times New Roman" w:cs="Times New Roman"/>
          <w:kern w:val="0"/>
          <w:sz w:val="24"/>
        </w:rPr>
        <w:t>中的二级排放标准</w:t>
      </w:r>
      <w:r>
        <w:rPr>
          <w:rFonts w:hint="default" w:ascii="Times New Roman" w:hAnsi="Times New Roman" w:cs="Times New Roman"/>
          <w:sz w:val="24"/>
        </w:rPr>
        <w:t>。VOCs总净化效率82.4%，达到《浙江省挥发性有机物污染整治方案》(浙环发 [2013]54号)中要求的总净化效率不得低于75%。</w:t>
      </w:r>
    </w:p>
    <w:p>
      <w:pPr>
        <w:tabs>
          <w:tab w:val="left" w:pos="217"/>
          <w:tab w:val="left" w:pos="1205"/>
          <w:tab w:val="left" w:pos="2410"/>
          <w:tab w:val="left" w:pos="3615"/>
          <w:tab w:val="center" w:pos="4279"/>
          <w:tab w:val="left" w:pos="4820"/>
          <w:tab w:val="left" w:pos="6032"/>
          <w:tab w:val="left" w:pos="7247"/>
        </w:tabs>
        <w:spacing w:line="440" w:lineRule="exact"/>
        <w:ind w:firstLine="512" w:firstLineChars="200"/>
        <w:jc w:val="left"/>
        <w:rPr>
          <w:rFonts w:hint="default" w:ascii="Times New Roman" w:hAnsi="Times New Roman" w:cs="Times New Roman"/>
          <w:color w:val="333333"/>
          <w:spacing w:val="8"/>
          <w:sz w:val="24"/>
          <w:shd w:val="clear" w:color="auto" w:fill="FFFFFF"/>
        </w:rPr>
      </w:pPr>
      <w:r>
        <w:rPr>
          <w:rFonts w:hint="default" w:ascii="Times New Roman" w:hAnsi="Times New Roman" w:cs="Times New Roman"/>
          <w:color w:val="333333"/>
          <w:spacing w:val="8"/>
          <w:sz w:val="24"/>
          <w:shd w:val="clear" w:color="auto" w:fill="FFFFFF"/>
        </w:rPr>
        <w:t>厂界无组织废气中非甲烷总烃的最大浓度为1.84mg/m</w:t>
      </w:r>
      <w:r>
        <w:rPr>
          <w:rFonts w:hint="default" w:ascii="Times New Roman" w:hAnsi="Times New Roman" w:cs="Times New Roman"/>
          <w:color w:val="333333"/>
          <w:spacing w:val="8"/>
          <w:sz w:val="24"/>
          <w:shd w:val="clear" w:color="auto" w:fill="FFFFFF"/>
          <w:vertAlign w:val="superscript"/>
        </w:rPr>
        <w:t>3</w:t>
      </w:r>
      <w:r>
        <w:rPr>
          <w:rFonts w:hint="default" w:ascii="Times New Roman" w:hAnsi="Times New Roman" w:cs="Times New Roman"/>
          <w:color w:val="333333"/>
          <w:spacing w:val="8"/>
          <w:sz w:val="24"/>
          <w:shd w:val="clear" w:color="auto" w:fill="FFFFFF"/>
        </w:rPr>
        <w:t>，符合《大气污染物综合排放标准》(GB16297-1996)表2无组织排放监控浓度限值要求。</w:t>
      </w:r>
      <w:bookmarkEnd w:id="7"/>
    </w:p>
    <w:p>
      <w:pPr>
        <w:numPr>
          <w:ilvl w:val="0"/>
          <w:numId w:val="4"/>
        </w:num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噪声</w:t>
      </w:r>
    </w:p>
    <w:p>
      <w:pPr>
        <w:adjustRightIn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根据监测结果，</w:t>
      </w:r>
      <w:r>
        <w:rPr>
          <w:rFonts w:hint="default" w:ascii="Times New Roman" w:hAnsi="Times New Roman" w:cs="Times New Roman"/>
          <w:color w:val="000000"/>
          <w:sz w:val="24"/>
        </w:rPr>
        <w:t>厂界四周昼间噪声监测值为56.3~59.2dB(A)，均符合《工业企业厂界环境噪声排放标准》(GB12348-2008)2类标准限值。</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w:t>
      </w:r>
      <w:r>
        <w:rPr>
          <w:rFonts w:hint="default" w:ascii="Times New Roman" w:hAnsi="Times New Roman" w:cs="Times New Roman"/>
          <w:b/>
          <w:bCs/>
          <w:sz w:val="24"/>
        </w:rPr>
        <w:t>）固废</w:t>
      </w:r>
    </w:p>
    <w:p>
      <w:pPr>
        <w:shd w:val="solid" w:color="FFFFFF" w:fill="auto"/>
        <w:autoSpaceDN w:val="0"/>
        <w:spacing w:before="45" w:after="150" w:line="440" w:lineRule="exact"/>
        <w:ind w:firstLine="480" w:firstLineChars="200"/>
        <w:rPr>
          <w:rFonts w:hint="default" w:ascii="Times New Roman" w:hAnsi="Times New Roman" w:cs="Times New Roman"/>
          <w:b/>
          <w:bCs/>
          <w:sz w:val="24"/>
        </w:rPr>
      </w:pPr>
      <w:r>
        <w:rPr>
          <w:rFonts w:hint="default" w:ascii="Times New Roman" w:hAnsi="Times New Roman" w:cs="Times New Roman"/>
          <w:sz w:val="24"/>
        </w:rPr>
        <w:t>根据调查，</w:t>
      </w:r>
      <w:r>
        <w:rPr>
          <w:rFonts w:hint="default" w:ascii="Times New Roman" w:hAnsi="Times New Roman" w:cs="Times New Roman"/>
          <w:color w:val="000000"/>
          <w:spacing w:val="8"/>
          <w:sz w:val="24"/>
          <w:shd w:val="clear" w:color="auto" w:fill="FFFFFF"/>
        </w:rPr>
        <w:t>生产过程中不合格产品的产生量为 0.01t/a，收集后出售给物资公司回收综合利用，生活垃圾产生量估计为 0.8t/a，由当地环卫部门统一处置。</w:t>
      </w:r>
      <w:r>
        <w:rPr>
          <w:rFonts w:hint="default" w:ascii="Times New Roman" w:hAnsi="Times New Roman" w:cs="Times New Roman"/>
          <w:color w:val="333333"/>
          <w:spacing w:val="8"/>
          <w:sz w:val="24"/>
          <w:shd w:val="clear" w:color="auto" w:fill="FFFFFF"/>
        </w:rPr>
        <w:t>固废产生量与环评估算接近，其处置规范，基本符合污染控制要求。</w:t>
      </w:r>
    </w:p>
    <w:p>
      <w:pPr>
        <w:spacing w:line="360" w:lineRule="auto"/>
        <w:ind w:firstLine="482" w:firstLineChars="200"/>
        <w:rPr>
          <w:rFonts w:hint="default" w:ascii="Times New Roman" w:hAnsi="Times New Roman" w:cs="Times New Roman"/>
          <w:sz w:val="24"/>
        </w:rPr>
      </w:pPr>
      <w:r>
        <w:rPr>
          <w:rFonts w:hint="default" w:ascii="Times New Roman" w:hAnsi="Times New Roman" w:cs="Times New Roman"/>
          <w:b/>
          <w:bCs/>
          <w:sz w:val="24"/>
        </w:rPr>
        <w:t>（五）总量控制</w:t>
      </w:r>
    </w:p>
    <w:p>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经核算，实际外排环境CODcr为0.005t/a，NH</w:t>
      </w:r>
      <w:r>
        <w:rPr>
          <w:rFonts w:hint="default" w:ascii="Times New Roman" w:hAnsi="Times New Roman" w:cs="Times New Roman"/>
          <w:color w:val="000000"/>
          <w:sz w:val="24"/>
          <w:vertAlign w:val="subscript"/>
        </w:rPr>
        <w:t>3</w:t>
      </w:r>
      <w:r>
        <w:rPr>
          <w:rFonts w:hint="default" w:ascii="Times New Roman" w:hAnsi="Times New Roman" w:cs="Times New Roman"/>
          <w:color w:val="000000"/>
          <w:sz w:val="24"/>
        </w:rPr>
        <w:t>-N为0.0003t/a， VOCs0.006t/a，均符合批复核定的总量要求。</w:t>
      </w:r>
    </w:p>
    <w:p>
      <w:pPr>
        <w:spacing w:line="360" w:lineRule="auto"/>
        <w:ind w:firstLine="514" w:firstLineChars="200"/>
        <w:rPr>
          <w:rFonts w:hint="default" w:ascii="Times New Roman" w:hAnsi="Times New Roman" w:cs="Times New Roman"/>
          <w:b/>
          <w:bCs/>
          <w:color w:val="000000"/>
          <w:spacing w:val="8"/>
          <w:sz w:val="24"/>
          <w:shd w:val="clear" w:color="auto" w:fill="FFFFFF"/>
        </w:rPr>
      </w:pPr>
      <w:r>
        <w:rPr>
          <w:rFonts w:hint="default" w:ascii="Times New Roman" w:hAnsi="Times New Roman" w:cs="Times New Roman"/>
          <w:b/>
          <w:bCs/>
          <w:color w:val="000000"/>
          <w:spacing w:val="8"/>
          <w:sz w:val="24"/>
          <w:shd w:val="clear" w:color="auto" w:fill="FFFFFF"/>
        </w:rPr>
        <w:t>五、工程建设对环境的影响</w:t>
      </w:r>
    </w:p>
    <w:p>
      <w:pPr>
        <w:spacing w:line="360" w:lineRule="auto"/>
        <w:ind w:firstLine="512" w:firstLineChars="200"/>
        <w:rPr>
          <w:rFonts w:hint="default" w:ascii="Times New Roman" w:hAnsi="Times New Roman" w:cs="Times New Roman"/>
          <w:color w:val="000000"/>
          <w:spacing w:val="8"/>
          <w:sz w:val="24"/>
          <w:shd w:val="clear" w:color="auto" w:fill="FFFFFF"/>
        </w:rPr>
      </w:pPr>
      <w:r>
        <w:rPr>
          <w:rFonts w:hint="default" w:ascii="Times New Roman" w:hAnsi="Times New Roman" w:cs="Times New Roman"/>
          <w:color w:val="000000"/>
          <w:spacing w:val="8"/>
          <w:sz w:val="24"/>
          <w:shd w:val="clear" w:color="auto" w:fill="FFFFFF"/>
        </w:rPr>
        <w:t>项目实施了环评提出的污染防治措施，项目对周边环境影响较小，项目的建设期间和试运行期间未发生环境事故，也未有公众投诉事件。</w:t>
      </w:r>
    </w:p>
    <w:p>
      <w:pPr>
        <w:numPr>
          <w:ilvl w:val="0"/>
          <w:numId w:val="5"/>
        </w:numPr>
        <w:spacing w:line="360" w:lineRule="auto"/>
        <w:ind w:firstLine="514" w:firstLineChars="200"/>
        <w:rPr>
          <w:rFonts w:hint="default" w:ascii="Times New Roman" w:hAnsi="Times New Roman" w:cs="Times New Roman"/>
          <w:b/>
          <w:bCs/>
          <w:color w:val="000000"/>
          <w:spacing w:val="8"/>
          <w:sz w:val="24"/>
          <w:shd w:val="clear" w:color="auto" w:fill="FFFFFF"/>
        </w:rPr>
      </w:pPr>
      <w:r>
        <w:rPr>
          <w:rFonts w:hint="default" w:ascii="Times New Roman" w:hAnsi="Times New Roman" w:cs="Times New Roman"/>
          <w:b/>
          <w:bCs/>
          <w:color w:val="000000"/>
          <w:spacing w:val="8"/>
          <w:sz w:val="24"/>
          <w:shd w:val="clear" w:color="auto" w:fill="FFFFFF"/>
        </w:rPr>
        <w:t>验收结论</w:t>
      </w:r>
    </w:p>
    <w:p>
      <w:pPr>
        <w:spacing w:line="360" w:lineRule="auto"/>
        <w:ind w:firstLine="512" w:firstLineChars="200"/>
        <w:rPr>
          <w:rFonts w:hint="default" w:ascii="Times New Roman" w:hAnsi="Times New Roman" w:cs="Times New Roman"/>
          <w:color w:val="000000"/>
          <w:spacing w:val="8"/>
          <w:sz w:val="24"/>
          <w:shd w:val="clear" w:color="auto" w:fill="FFFFFF"/>
        </w:rPr>
      </w:pPr>
      <w:r>
        <w:rPr>
          <w:rFonts w:hint="default" w:ascii="Times New Roman" w:hAnsi="Times New Roman" w:cs="Times New Roman"/>
          <w:color w:val="000000"/>
          <w:spacing w:val="8"/>
          <w:sz w:val="24"/>
          <w:shd w:val="clear" w:color="auto" w:fill="FFFFFF"/>
        </w:rPr>
        <w:t>诸暨市城东先军复膜厂新建年产复膜1000万张生产线项目</w:t>
      </w:r>
      <w:r>
        <w:rPr>
          <w:rFonts w:hint="default" w:ascii="Times New Roman" w:hAnsi="Times New Roman" w:cs="Times New Roman"/>
          <w:sz w:val="24"/>
        </w:rPr>
        <w:t>在建设中基本执行了环保“三同时”规定，验收资料基本齐全，环评</w:t>
      </w:r>
      <w:r>
        <w:rPr>
          <w:rFonts w:hint="default" w:ascii="Times New Roman" w:hAnsi="Times New Roman" w:cs="Times New Roman"/>
          <w:color w:val="000000"/>
          <w:sz w:val="24"/>
        </w:rPr>
        <w:t>报告中提出的环保措施及环评批复要求基本落实，监测指标达到排放标准</w:t>
      </w:r>
      <w:r>
        <w:rPr>
          <w:rFonts w:hint="default" w:ascii="Times New Roman" w:hAnsi="Times New Roman" w:cs="Times New Roman"/>
          <w:kern w:val="0"/>
          <w:sz w:val="24"/>
        </w:rPr>
        <w:t>，排放总量符合环评建议要求</w:t>
      </w:r>
      <w:r>
        <w:rPr>
          <w:rFonts w:hint="default" w:ascii="Times New Roman" w:hAnsi="Times New Roman" w:cs="Times New Roman"/>
          <w:color w:val="000000"/>
          <w:sz w:val="24"/>
        </w:rPr>
        <w:t>，</w:t>
      </w:r>
      <w:r>
        <w:rPr>
          <w:rFonts w:hint="default" w:ascii="Times New Roman" w:hAnsi="Times New Roman" w:cs="Times New Roman"/>
          <w:color w:val="333333"/>
          <w:spacing w:val="8"/>
          <w:sz w:val="24"/>
          <w:shd w:val="clear" w:color="auto" w:fill="FFFFFF"/>
        </w:rPr>
        <w:t>固废处置规范。落实整改措施后，</w:t>
      </w:r>
      <w:r>
        <w:rPr>
          <w:rFonts w:hint="default" w:ascii="Times New Roman" w:hAnsi="Times New Roman" w:cs="Times New Roman"/>
          <w:color w:val="000000"/>
          <w:sz w:val="24"/>
        </w:rPr>
        <w:t>该项目基本符合环保验收条件，经验收组</w:t>
      </w:r>
      <w:r>
        <w:rPr>
          <w:rFonts w:hint="default" w:ascii="Times New Roman" w:hAnsi="Times New Roman" w:cs="Times New Roman"/>
          <w:color w:val="000000"/>
          <w:sz w:val="24"/>
          <w:szCs w:val="22"/>
          <w:lang w:val="zh-CN"/>
        </w:rPr>
        <w:t>认真讨论，同意</w:t>
      </w:r>
      <w:r>
        <w:rPr>
          <w:rFonts w:hint="default" w:ascii="Times New Roman" w:hAnsi="Times New Roman" w:cs="Times New Roman"/>
          <w:sz w:val="24"/>
        </w:rPr>
        <w:t>该项目废水、废气和噪声部分</w:t>
      </w:r>
      <w:r>
        <w:rPr>
          <w:rFonts w:hint="default" w:ascii="Times New Roman" w:hAnsi="Times New Roman" w:cs="Times New Roman"/>
          <w:color w:val="000000"/>
          <w:sz w:val="24"/>
          <w:szCs w:val="22"/>
          <w:lang w:val="zh-CN"/>
        </w:rPr>
        <w:t>通过环保设施竣工验收。</w:t>
      </w:r>
    </w:p>
    <w:p>
      <w:pPr>
        <w:numPr>
          <w:ilvl w:val="0"/>
          <w:numId w:val="5"/>
        </w:numPr>
        <w:spacing w:line="360" w:lineRule="auto"/>
        <w:ind w:firstLine="514" w:firstLineChars="200"/>
        <w:rPr>
          <w:rFonts w:hint="default" w:ascii="Times New Roman" w:hAnsi="Times New Roman" w:cs="Times New Roman"/>
          <w:b/>
          <w:bCs/>
          <w:color w:val="000000"/>
          <w:spacing w:val="8"/>
          <w:sz w:val="24"/>
          <w:shd w:val="clear" w:color="auto" w:fill="FFFFFF"/>
        </w:rPr>
      </w:pPr>
      <w:r>
        <w:rPr>
          <w:rFonts w:hint="default" w:ascii="Times New Roman" w:hAnsi="Times New Roman" w:cs="Times New Roman"/>
          <w:b/>
          <w:bCs/>
          <w:color w:val="000000"/>
          <w:spacing w:val="8"/>
          <w:sz w:val="24"/>
          <w:shd w:val="clear" w:color="auto" w:fill="FFFFFF"/>
        </w:rPr>
        <w:t>整改和后续要求</w:t>
      </w:r>
    </w:p>
    <w:p>
      <w:pPr>
        <w:spacing w:line="360" w:lineRule="auto"/>
        <w:ind w:firstLine="512" w:firstLineChars="200"/>
        <w:rPr>
          <w:rFonts w:hint="default" w:ascii="Times New Roman" w:hAnsi="Times New Roman" w:cs="Times New Roman"/>
          <w:color w:val="000000"/>
          <w:spacing w:val="8"/>
          <w:sz w:val="24"/>
          <w:shd w:val="clear" w:color="auto" w:fill="FFFFFF"/>
        </w:rPr>
      </w:pPr>
      <w:r>
        <w:rPr>
          <w:rFonts w:hint="default" w:ascii="Times New Roman" w:hAnsi="Times New Roman" w:cs="Times New Roman"/>
          <w:color w:val="000000"/>
          <w:spacing w:val="8"/>
          <w:sz w:val="24"/>
          <w:shd w:val="clear" w:color="auto" w:fill="FFFFFF"/>
        </w:rPr>
        <w:t>(一)按《建设项目竣工环境保护验收技术指南》要求进一步完善监测报告的编制,及时在当地政府公示栏向社会公开项目竣工验收信息。</w:t>
      </w:r>
    </w:p>
    <w:p>
      <w:pPr>
        <w:spacing w:line="360" w:lineRule="auto"/>
        <w:ind w:firstLine="512" w:firstLineChars="200"/>
        <w:rPr>
          <w:rFonts w:hint="default" w:ascii="Times New Roman" w:hAnsi="Times New Roman" w:cs="Times New Roman"/>
          <w:color w:val="000000"/>
          <w:spacing w:val="8"/>
          <w:sz w:val="24"/>
          <w:shd w:val="clear" w:color="auto" w:fill="FFFFFF"/>
        </w:rPr>
      </w:pPr>
      <w:r>
        <w:rPr>
          <w:rFonts w:hint="default" w:ascii="Times New Roman" w:hAnsi="Times New Roman" w:cs="Times New Roman"/>
          <w:color w:val="000000"/>
          <w:spacing w:val="8"/>
          <w:sz w:val="24"/>
          <w:shd w:val="clear" w:color="auto" w:fill="FFFFFF"/>
        </w:rPr>
        <w:t>（二）加强对无组织上胶废气的收集处理，做好各类设备和环保设施的日常维护。</w:t>
      </w:r>
    </w:p>
    <w:p>
      <w:pPr>
        <w:spacing w:line="360" w:lineRule="auto"/>
        <w:ind w:firstLine="512" w:firstLineChars="200"/>
        <w:rPr>
          <w:rFonts w:hint="default" w:ascii="Times New Roman" w:hAnsi="Times New Roman" w:cs="Times New Roman"/>
          <w:color w:val="000000"/>
          <w:spacing w:val="8"/>
          <w:sz w:val="24"/>
          <w:shd w:val="clear" w:color="auto" w:fill="FFFFFF"/>
        </w:rPr>
      </w:pPr>
      <w:r>
        <w:rPr>
          <w:rFonts w:hint="default" w:ascii="Times New Roman" w:hAnsi="Times New Roman" w:cs="Times New Roman"/>
          <w:color w:val="000000"/>
          <w:spacing w:val="8"/>
          <w:sz w:val="24"/>
          <w:shd w:val="clear" w:color="auto" w:fill="FFFFFF"/>
        </w:rPr>
        <w:t>（三）按要求落实环境监测计划，确保其稳定达标排放。</w:t>
      </w:r>
    </w:p>
    <w:p>
      <w:pPr>
        <w:numPr>
          <w:ilvl w:val="0"/>
          <w:numId w:val="5"/>
        </w:numPr>
        <w:spacing w:line="360" w:lineRule="auto"/>
        <w:ind w:firstLine="514" w:firstLineChars="200"/>
        <w:rPr>
          <w:rFonts w:hint="default" w:ascii="Times New Roman" w:hAnsi="Times New Roman" w:cs="Times New Roman"/>
          <w:b/>
          <w:bCs/>
          <w:color w:val="000000"/>
          <w:spacing w:val="8"/>
          <w:sz w:val="24"/>
          <w:shd w:val="clear" w:color="auto" w:fill="FFFFFF"/>
        </w:rPr>
      </w:pPr>
      <w:r>
        <w:rPr>
          <w:rFonts w:hint="default" w:ascii="Times New Roman" w:hAnsi="Times New Roman" w:cs="Times New Roman"/>
          <w:b/>
          <w:bCs/>
          <w:color w:val="000000"/>
          <w:spacing w:val="8"/>
          <w:sz w:val="24"/>
          <w:shd w:val="clear" w:color="auto" w:fill="FFFFFF"/>
        </w:rPr>
        <w:t>验收人员信息</w:t>
      </w:r>
    </w:p>
    <w:tbl>
      <w:tblPr>
        <w:tblStyle w:val="8"/>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530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308" w:type="dxa"/>
          </w:tcPr>
          <w:p>
            <w:pPr>
              <w:spacing w:line="360" w:lineRule="auto"/>
              <w:ind w:firstLine="512" w:firstLineChars="200"/>
              <w:jc w:val="center"/>
              <w:rPr>
                <w:rFonts w:hint="default" w:ascii="Times New Roman" w:hAnsi="Times New Roman" w:cs="Times New Roman"/>
                <w:color w:val="000000"/>
                <w:spacing w:val="8"/>
                <w:sz w:val="24"/>
                <w:shd w:val="clear" w:color="auto" w:fill="FFFFFF"/>
              </w:rPr>
            </w:pPr>
            <w:r>
              <w:rPr>
                <w:rFonts w:hint="default" w:ascii="Times New Roman" w:hAnsi="Times New Roman" w:cs="Times New Roman"/>
                <w:color w:val="000000"/>
                <w:spacing w:val="8"/>
                <w:sz w:val="24"/>
                <w:shd w:val="clear" w:color="auto" w:fill="FFFFFF"/>
              </w:rPr>
              <w:t>姓名</w:t>
            </w:r>
          </w:p>
        </w:tc>
        <w:tc>
          <w:tcPr>
            <w:tcW w:w="5301" w:type="dxa"/>
          </w:tcPr>
          <w:p>
            <w:pPr>
              <w:spacing w:line="360" w:lineRule="auto"/>
              <w:ind w:firstLine="512" w:firstLineChars="200"/>
              <w:jc w:val="center"/>
              <w:rPr>
                <w:rFonts w:hint="default" w:ascii="Times New Roman" w:hAnsi="Times New Roman" w:cs="Times New Roman"/>
                <w:color w:val="000000"/>
                <w:spacing w:val="8"/>
                <w:sz w:val="24"/>
                <w:shd w:val="clear" w:color="auto" w:fill="FFFFFF"/>
              </w:rPr>
            </w:pPr>
            <w:r>
              <w:rPr>
                <w:rFonts w:hint="default" w:ascii="Times New Roman" w:hAnsi="Times New Roman" w:cs="Times New Roman"/>
                <w:color w:val="000000"/>
                <w:spacing w:val="8"/>
                <w:sz w:val="24"/>
                <w:shd w:val="clear" w:color="auto" w:fill="FFFFFF"/>
              </w:rPr>
              <w:t>单位</w:t>
            </w:r>
          </w:p>
        </w:tc>
        <w:tc>
          <w:tcPr>
            <w:tcW w:w="1971" w:type="dxa"/>
          </w:tcPr>
          <w:p>
            <w:pPr>
              <w:spacing w:line="360" w:lineRule="auto"/>
              <w:ind w:firstLine="512" w:firstLineChars="200"/>
              <w:jc w:val="center"/>
              <w:rPr>
                <w:rFonts w:hint="default" w:ascii="Times New Roman" w:hAnsi="Times New Roman" w:cs="Times New Roman"/>
                <w:color w:val="000000"/>
                <w:spacing w:val="8"/>
                <w:sz w:val="24"/>
                <w:shd w:val="clear" w:color="auto" w:fill="FFFFFF"/>
              </w:rPr>
            </w:pPr>
            <w:r>
              <w:rPr>
                <w:rFonts w:hint="default" w:ascii="Times New Roman" w:hAnsi="Times New Roman" w:cs="Times New Roman"/>
                <w:color w:val="000000"/>
                <w:spacing w:val="8"/>
                <w:sz w:val="24"/>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308" w:type="dxa"/>
          </w:tcPr>
          <w:p>
            <w:pPr>
              <w:spacing w:line="360" w:lineRule="auto"/>
              <w:rPr>
                <w:rFonts w:hint="default" w:ascii="Times New Roman" w:hAnsi="Times New Roman" w:cs="Times New Roman"/>
                <w:color w:val="000000"/>
                <w:spacing w:val="8"/>
                <w:sz w:val="24"/>
                <w:shd w:val="clear" w:color="auto" w:fill="FFFFFF"/>
              </w:rPr>
            </w:pPr>
          </w:p>
        </w:tc>
        <w:tc>
          <w:tcPr>
            <w:tcW w:w="5301" w:type="dxa"/>
          </w:tcPr>
          <w:p>
            <w:pPr>
              <w:spacing w:line="360" w:lineRule="auto"/>
              <w:rPr>
                <w:rFonts w:hint="default" w:ascii="Times New Roman" w:hAnsi="Times New Roman" w:cs="Times New Roman"/>
                <w:color w:val="000000"/>
                <w:spacing w:val="8"/>
                <w:sz w:val="24"/>
                <w:shd w:val="clear" w:color="auto" w:fill="FFFFFF"/>
              </w:rPr>
            </w:pPr>
          </w:p>
        </w:tc>
        <w:tc>
          <w:tcPr>
            <w:tcW w:w="1971" w:type="dxa"/>
          </w:tcPr>
          <w:p>
            <w:pPr>
              <w:spacing w:line="360" w:lineRule="auto"/>
              <w:ind w:firstLine="512" w:firstLineChars="200"/>
              <w:rPr>
                <w:rFonts w:hint="default" w:ascii="Times New Roman" w:hAnsi="Times New Roman" w:cs="Times New Roman"/>
                <w:color w:val="000000"/>
                <w:spacing w:val="8"/>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308" w:type="dxa"/>
          </w:tcPr>
          <w:p>
            <w:pPr>
              <w:spacing w:line="360" w:lineRule="auto"/>
              <w:rPr>
                <w:rFonts w:hint="default" w:ascii="Times New Roman" w:hAnsi="Times New Roman" w:cs="Times New Roman"/>
                <w:color w:val="000000"/>
                <w:spacing w:val="8"/>
                <w:sz w:val="24"/>
                <w:shd w:val="clear" w:color="auto" w:fill="FFFFFF"/>
              </w:rPr>
            </w:pPr>
          </w:p>
        </w:tc>
        <w:tc>
          <w:tcPr>
            <w:tcW w:w="5301" w:type="dxa"/>
          </w:tcPr>
          <w:p>
            <w:pPr>
              <w:spacing w:line="360" w:lineRule="auto"/>
              <w:ind w:firstLine="512" w:firstLineChars="200"/>
              <w:rPr>
                <w:rFonts w:hint="default" w:ascii="Times New Roman" w:hAnsi="Times New Roman" w:cs="Times New Roman"/>
                <w:color w:val="000000"/>
                <w:spacing w:val="8"/>
                <w:sz w:val="24"/>
                <w:shd w:val="clear" w:color="auto" w:fill="FFFFFF"/>
              </w:rPr>
            </w:pPr>
          </w:p>
        </w:tc>
        <w:tc>
          <w:tcPr>
            <w:tcW w:w="1971" w:type="dxa"/>
          </w:tcPr>
          <w:p>
            <w:pPr>
              <w:spacing w:line="360" w:lineRule="auto"/>
              <w:ind w:firstLine="512" w:firstLineChars="200"/>
              <w:rPr>
                <w:rFonts w:hint="default" w:ascii="Times New Roman" w:hAnsi="Times New Roman" w:cs="Times New Roman"/>
                <w:color w:val="000000"/>
                <w:spacing w:val="8"/>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308" w:type="dxa"/>
          </w:tcPr>
          <w:p>
            <w:pPr>
              <w:spacing w:line="360" w:lineRule="auto"/>
              <w:ind w:firstLine="512" w:firstLineChars="200"/>
              <w:rPr>
                <w:rFonts w:hint="default" w:ascii="Times New Roman" w:hAnsi="Times New Roman" w:cs="Times New Roman"/>
                <w:color w:val="000000"/>
                <w:spacing w:val="8"/>
                <w:sz w:val="24"/>
                <w:shd w:val="clear" w:color="auto" w:fill="FFFFFF"/>
              </w:rPr>
            </w:pPr>
          </w:p>
        </w:tc>
        <w:tc>
          <w:tcPr>
            <w:tcW w:w="5301" w:type="dxa"/>
          </w:tcPr>
          <w:p>
            <w:pPr>
              <w:spacing w:line="360" w:lineRule="auto"/>
              <w:ind w:firstLine="512" w:firstLineChars="200"/>
              <w:rPr>
                <w:rFonts w:hint="default" w:ascii="Times New Roman" w:hAnsi="Times New Roman" w:cs="Times New Roman"/>
                <w:color w:val="000000"/>
                <w:spacing w:val="8"/>
                <w:sz w:val="24"/>
                <w:shd w:val="clear" w:color="auto" w:fill="FFFFFF"/>
              </w:rPr>
            </w:pPr>
          </w:p>
        </w:tc>
        <w:tc>
          <w:tcPr>
            <w:tcW w:w="1971" w:type="dxa"/>
          </w:tcPr>
          <w:p>
            <w:pPr>
              <w:spacing w:line="360" w:lineRule="auto"/>
              <w:ind w:firstLine="512" w:firstLineChars="200"/>
              <w:rPr>
                <w:rFonts w:hint="default" w:ascii="Times New Roman" w:hAnsi="Times New Roman" w:cs="Times New Roman"/>
                <w:color w:val="000000"/>
                <w:spacing w:val="8"/>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308" w:type="dxa"/>
          </w:tcPr>
          <w:p>
            <w:pPr>
              <w:spacing w:line="360" w:lineRule="auto"/>
              <w:rPr>
                <w:rFonts w:hint="default" w:ascii="Times New Roman" w:hAnsi="Times New Roman" w:cs="Times New Roman"/>
                <w:color w:val="000000"/>
                <w:spacing w:val="8"/>
                <w:sz w:val="24"/>
                <w:shd w:val="clear" w:color="auto" w:fill="FFFFFF"/>
              </w:rPr>
            </w:pPr>
          </w:p>
        </w:tc>
        <w:tc>
          <w:tcPr>
            <w:tcW w:w="5301" w:type="dxa"/>
          </w:tcPr>
          <w:p>
            <w:pPr>
              <w:spacing w:line="360" w:lineRule="auto"/>
              <w:ind w:firstLine="512" w:firstLineChars="200"/>
              <w:rPr>
                <w:rFonts w:hint="default" w:ascii="Times New Roman" w:hAnsi="Times New Roman" w:cs="Times New Roman"/>
                <w:color w:val="000000"/>
                <w:spacing w:val="8"/>
                <w:sz w:val="24"/>
                <w:shd w:val="clear" w:color="auto" w:fill="FFFFFF"/>
              </w:rPr>
            </w:pPr>
          </w:p>
        </w:tc>
        <w:tc>
          <w:tcPr>
            <w:tcW w:w="1971" w:type="dxa"/>
          </w:tcPr>
          <w:p>
            <w:pPr>
              <w:spacing w:line="360" w:lineRule="auto"/>
              <w:ind w:firstLine="512" w:firstLineChars="200"/>
              <w:rPr>
                <w:rFonts w:hint="default" w:ascii="Times New Roman" w:hAnsi="Times New Roman" w:cs="Times New Roman"/>
                <w:color w:val="000000"/>
                <w:spacing w:val="8"/>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308" w:type="dxa"/>
          </w:tcPr>
          <w:p>
            <w:pPr>
              <w:spacing w:line="360" w:lineRule="auto"/>
              <w:rPr>
                <w:rFonts w:hint="default" w:ascii="Times New Roman" w:hAnsi="Times New Roman" w:cs="Times New Roman"/>
                <w:color w:val="000000"/>
                <w:spacing w:val="8"/>
                <w:sz w:val="24"/>
                <w:shd w:val="clear" w:color="auto" w:fill="FFFFFF"/>
              </w:rPr>
            </w:pPr>
          </w:p>
        </w:tc>
        <w:tc>
          <w:tcPr>
            <w:tcW w:w="5301" w:type="dxa"/>
          </w:tcPr>
          <w:p>
            <w:pPr>
              <w:spacing w:line="360" w:lineRule="auto"/>
              <w:ind w:firstLine="512" w:firstLineChars="200"/>
              <w:rPr>
                <w:rFonts w:hint="default" w:ascii="Times New Roman" w:hAnsi="Times New Roman" w:cs="Times New Roman"/>
                <w:color w:val="000000"/>
                <w:spacing w:val="8"/>
                <w:sz w:val="24"/>
                <w:shd w:val="clear" w:color="auto" w:fill="FFFFFF"/>
              </w:rPr>
            </w:pPr>
          </w:p>
        </w:tc>
        <w:tc>
          <w:tcPr>
            <w:tcW w:w="1971" w:type="dxa"/>
          </w:tcPr>
          <w:p>
            <w:pPr>
              <w:spacing w:line="360" w:lineRule="auto"/>
              <w:ind w:firstLine="512" w:firstLineChars="200"/>
              <w:rPr>
                <w:rFonts w:hint="default" w:ascii="Times New Roman" w:hAnsi="Times New Roman" w:cs="Times New Roman"/>
                <w:color w:val="000000"/>
                <w:spacing w:val="8"/>
                <w:sz w:val="24"/>
                <w:shd w:val="clear" w:color="auto" w:fill="FFFFFF"/>
              </w:rPr>
            </w:pPr>
          </w:p>
        </w:tc>
      </w:tr>
    </w:tbl>
    <w:p>
      <w:pPr>
        <w:spacing w:line="360" w:lineRule="auto"/>
        <w:ind w:firstLine="420" w:firstLineChars="200"/>
        <w:rPr>
          <w:rFonts w:hint="default" w:ascii="Times New Roman" w:hAnsi="Times New Roman" w:cs="Times New Roman"/>
        </w:rPr>
      </w:pPr>
    </w:p>
    <w:p>
      <w:pPr>
        <w:pStyle w:val="2"/>
        <w:spacing w:before="220" w:after="220" w:line="360" w:lineRule="auto"/>
        <w:jc w:val="center"/>
        <w:rPr>
          <w:rFonts w:hint="default" w:ascii="Times New Roman" w:hAnsi="Times New Roman" w:eastAsia="宋体" w:cs="Times New Roman"/>
        </w:rPr>
      </w:pPr>
      <w:r>
        <w:rPr>
          <w:rFonts w:hint="default" w:ascii="Times New Roman" w:hAnsi="Times New Roman" w:cs="Times New Roman"/>
        </w:rPr>
        <w:t xml:space="preserve">                                 </w:t>
      </w:r>
      <w:r>
        <w:rPr>
          <w:rFonts w:hint="default" w:ascii="Times New Roman" w:hAnsi="Times New Roman" w:eastAsia="宋体" w:cs="Times New Roman"/>
          <w:b w:val="0"/>
          <w:bCs w:val="0"/>
          <w:sz w:val="24"/>
          <w:szCs w:val="24"/>
        </w:rPr>
        <w:t>诸暨市城东先军复膜厂</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sz w:val="24"/>
        </w:rPr>
        <w:t>2019年8月18日</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967E2F"/>
    <w:multiLevelType w:val="singleLevel"/>
    <w:tmpl w:val="9F967E2F"/>
    <w:lvl w:ilvl="0" w:tentative="0">
      <w:start w:val="1"/>
      <w:numFmt w:val="chineseCounting"/>
      <w:suff w:val="nothing"/>
      <w:lvlText w:val="%1、"/>
      <w:lvlJc w:val="left"/>
      <w:rPr>
        <w:rFonts w:hint="eastAsia"/>
      </w:rPr>
    </w:lvl>
  </w:abstractNum>
  <w:abstractNum w:abstractNumId="1">
    <w:nsid w:val="1FABDA3A"/>
    <w:multiLevelType w:val="singleLevel"/>
    <w:tmpl w:val="1FABDA3A"/>
    <w:lvl w:ilvl="0" w:tentative="0">
      <w:start w:val="6"/>
      <w:numFmt w:val="chineseCounting"/>
      <w:suff w:val="nothing"/>
      <w:lvlText w:val="%1、"/>
      <w:lvlJc w:val="left"/>
      <w:rPr>
        <w:rFonts w:hint="eastAsia"/>
      </w:rPr>
    </w:lvl>
  </w:abstractNum>
  <w:abstractNum w:abstractNumId="2">
    <w:nsid w:val="24310435"/>
    <w:multiLevelType w:val="singleLevel"/>
    <w:tmpl w:val="24310435"/>
    <w:lvl w:ilvl="0" w:tentative="0">
      <w:start w:val="1"/>
      <w:numFmt w:val="chineseCounting"/>
      <w:suff w:val="nothing"/>
      <w:lvlText w:val="（%1）"/>
      <w:lvlJc w:val="left"/>
      <w:rPr>
        <w:rFonts w:hint="eastAsia"/>
      </w:rPr>
    </w:lvl>
  </w:abstractNum>
  <w:abstractNum w:abstractNumId="3">
    <w:nsid w:val="2B2443F9"/>
    <w:multiLevelType w:val="multilevel"/>
    <w:tmpl w:val="2B2443F9"/>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73B562BD"/>
    <w:multiLevelType w:val="singleLevel"/>
    <w:tmpl w:val="73B562BD"/>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B37"/>
    <w:rsid w:val="002F6ADA"/>
    <w:rsid w:val="0052579B"/>
    <w:rsid w:val="005734F2"/>
    <w:rsid w:val="00692967"/>
    <w:rsid w:val="007276AB"/>
    <w:rsid w:val="007A7E5B"/>
    <w:rsid w:val="007B5271"/>
    <w:rsid w:val="008A2544"/>
    <w:rsid w:val="008C6112"/>
    <w:rsid w:val="00A820A2"/>
    <w:rsid w:val="00B34B37"/>
    <w:rsid w:val="00B62007"/>
    <w:rsid w:val="00D31F16"/>
    <w:rsid w:val="00DB39BA"/>
    <w:rsid w:val="00E655ED"/>
    <w:rsid w:val="00FA4B53"/>
    <w:rsid w:val="04796D7B"/>
    <w:rsid w:val="04E67CDA"/>
    <w:rsid w:val="08F01C6D"/>
    <w:rsid w:val="0CAD71C3"/>
    <w:rsid w:val="1B682500"/>
    <w:rsid w:val="1BE00417"/>
    <w:rsid w:val="21857518"/>
    <w:rsid w:val="2D722F9D"/>
    <w:rsid w:val="2ED37223"/>
    <w:rsid w:val="34F528BC"/>
    <w:rsid w:val="36194C7C"/>
    <w:rsid w:val="3A751B7C"/>
    <w:rsid w:val="430B4C5F"/>
    <w:rsid w:val="4C2900D3"/>
    <w:rsid w:val="4C7D5CF4"/>
    <w:rsid w:val="4FA178BE"/>
    <w:rsid w:val="51961ECC"/>
    <w:rsid w:val="53FA1919"/>
    <w:rsid w:val="56316C35"/>
    <w:rsid w:val="57FA4B79"/>
    <w:rsid w:val="63145A34"/>
    <w:rsid w:val="6A925ED2"/>
    <w:rsid w:val="6DB86069"/>
    <w:rsid w:val="70075844"/>
    <w:rsid w:val="7CD25787"/>
    <w:rsid w:val="7CD456F6"/>
    <w:rsid w:val="7D41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outlineLvl w:val="0"/>
    </w:pPr>
  </w:style>
  <w:style w:type="paragraph" w:styleId="3">
    <w:name w:val="heading 2"/>
    <w:basedOn w:val="1"/>
    <w:next w:val="1"/>
    <w:qFormat/>
    <w:uiPriority w:val="0"/>
    <w:pPr>
      <w:keepNext/>
      <w:keepLines/>
      <w:outlineLvl w:val="1"/>
    </w:pPr>
    <w:rPr>
      <w:rFonts w:eastAsia="仿宋_GB2312"/>
      <w:b/>
      <w:bCs/>
      <w:sz w:val="28"/>
      <w:szCs w:val="28"/>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4">
    <w:name w:val="Normal Indent"/>
    <w:basedOn w:val="1"/>
    <w:qFormat/>
    <w:uiPriority w:val="99"/>
    <w:pPr>
      <w:spacing w:line="280" w:lineRule="atLeast"/>
      <w:ind w:firstLine="420"/>
    </w:pPr>
    <w:rPr>
      <w:sz w:val="28"/>
      <w:szCs w:val="2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annotation reference"/>
    <w:qFormat/>
    <w:uiPriority w:val="99"/>
    <w:rPr>
      <w:sz w:val="21"/>
    </w:rPr>
  </w:style>
  <w:style w:type="paragraph" w:styleId="11">
    <w:name w:val="List Paragraph"/>
    <w:basedOn w:val="1"/>
    <w:qFormat/>
    <w:uiPriority w:val="99"/>
    <w:pPr>
      <w:ind w:firstLine="420" w:firstLineChars="200"/>
    </w:pPr>
  </w:style>
  <w:style w:type="character" w:customStyle="1" w:styleId="12">
    <w:name w:val="页眉 字符"/>
    <w:basedOn w:val="9"/>
    <w:link w:val="6"/>
    <w:qFormat/>
    <w:uiPriority w:val="0"/>
    <w:rPr>
      <w:rFonts w:ascii="Calibri" w:hAnsi="Calibri"/>
      <w:kern w:val="2"/>
      <w:sz w:val="18"/>
      <w:szCs w:val="18"/>
    </w:rPr>
  </w:style>
  <w:style w:type="character" w:customStyle="1" w:styleId="13">
    <w:name w:val="页脚 字符"/>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382</Words>
  <Characters>2178</Characters>
  <Lines>18</Lines>
  <Paragraphs>5</Paragraphs>
  <TotalTime>10</TotalTime>
  <ScaleCrop>false</ScaleCrop>
  <LinksUpToDate>false</LinksUpToDate>
  <CharactersWithSpaces>2555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2019-05-31T12:47:00Z</dcterms:created>
  <dc:creator>Se perfectionner</dc:creator>
  <cp:lastModifiedBy>apple</cp:lastModifiedBy>
  <cp:lastPrinted>2019-08-17T05:38:12Z</cp:lastPrinted>
  <dcterms:modified xsi:type="dcterms:W3CDTF">2019-08-17T05:38:29Z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